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7D680" w14:textId="77777777" w:rsidR="00873ED3" w:rsidRDefault="004A0EBE">
      <w:pPr>
        <w:pStyle w:val="Nadpis4"/>
        <w:ind w:left="2422"/>
        <w:jc w:val="left"/>
      </w:pPr>
      <w:r>
        <w:rPr>
          <w:b/>
          <w:sz w:val="52"/>
          <w:szCs w:val="52"/>
        </w:rPr>
        <w:t>TECHNICKÁ ZPRÁVA</w:t>
      </w:r>
    </w:p>
    <w:p w14:paraId="749CBDB8" w14:textId="77777777" w:rsidR="00873ED3" w:rsidRDefault="004A0EBE">
      <w:pPr>
        <w:jc w:val="center"/>
        <w:rPr>
          <w:rFonts w:hint="eastAsia"/>
        </w:rPr>
      </w:pPr>
      <w:r>
        <w:rPr>
          <w:rFonts w:ascii="Arial" w:hAnsi="Arial"/>
          <w:sz w:val="36"/>
          <w:u w:val="single"/>
        </w:rPr>
        <w:t xml:space="preserve">k projektu stavby </w:t>
      </w:r>
    </w:p>
    <w:p w14:paraId="3C273826" w14:textId="77777777" w:rsidR="00873ED3" w:rsidRDefault="004A0EBE">
      <w:pPr>
        <w:jc w:val="center"/>
        <w:rPr>
          <w:rFonts w:hint="eastAsia"/>
        </w:rPr>
      </w:pPr>
      <w:r>
        <w:rPr>
          <w:rFonts w:ascii="Arial" w:hAnsi="Arial"/>
          <w:b/>
          <w:sz w:val="48"/>
        </w:rPr>
        <w:t>= PASPORTIZACE OKEN =</w:t>
      </w:r>
    </w:p>
    <w:p w14:paraId="47A1F0D5" w14:textId="77777777" w:rsidR="00873ED3" w:rsidRDefault="004A0EBE">
      <w:pPr>
        <w:jc w:val="center"/>
        <w:rPr>
          <w:rFonts w:hint="eastAsia"/>
        </w:rPr>
      </w:pPr>
      <w:r>
        <w:rPr>
          <w:rFonts w:ascii="Arial" w:hAnsi="Arial"/>
          <w:sz w:val="32"/>
        </w:rPr>
        <w:t xml:space="preserve"> </w:t>
      </w:r>
    </w:p>
    <w:p w14:paraId="2AA0EBDB" w14:textId="77777777" w:rsidR="00873ED3" w:rsidRDefault="004A0EBE">
      <w:pPr>
        <w:pStyle w:val="Nadpis1"/>
        <w:numPr>
          <w:ilvl w:val="0"/>
          <w:numId w:val="2"/>
        </w:numPr>
        <w:jc w:val="center"/>
        <w:rPr>
          <w:rFonts w:hint="eastAsia"/>
        </w:rPr>
      </w:pPr>
      <w:r>
        <w:rPr>
          <w:rFonts w:ascii="Arial" w:hAnsi="Arial"/>
          <w:sz w:val="48"/>
        </w:rPr>
        <w:t xml:space="preserve">KRKONOŠSKÉ GYMNASIUM A SOŠ  HOSTINNÉ  </w:t>
      </w:r>
    </w:p>
    <w:p w14:paraId="7A84E72E" w14:textId="77777777" w:rsidR="00873ED3" w:rsidRDefault="00873ED3">
      <w:pPr>
        <w:jc w:val="both"/>
        <w:rPr>
          <w:rFonts w:hint="eastAsia"/>
        </w:rPr>
      </w:pPr>
    </w:p>
    <w:p w14:paraId="57A5B982" w14:textId="0619E736" w:rsidR="00873ED3" w:rsidRDefault="00C54AFD">
      <w:pPr>
        <w:jc w:val="both"/>
        <w:rPr>
          <w:rFonts w:hint="eastAsia"/>
        </w:rPr>
      </w:pPr>
      <w:r>
        <w:rPr>
          <w:rFonts w:hint="eastAsia"/>
          <w:noProof/>
        </w:rPr>
        <w:pict w14:anchorId="3F1E3D13">
          <v:line id="Přímá spojnice 4" o:spid="_x0000_s1027" style="position:absolute;left:0;text-align:lef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4.1pt" to="457.3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OVX3wEAAAAEAAAOAAAAZHJzL2Uyb0RvYy54bWysU8Fu2zAMvQ/YPwi6L06DLkiNOD206C7D&#10;FmzrByiyFGuQRIFS4+RTdtwH7CuK/dco2XW79dRiPsiiRD7yPVLry6Oz7KAwGvANP5vNOVNeQmv8&#10;vuG3327erTiLSfhWWPCq4ScV+eXm7Zt1H2q1gA5sq5ARiI91HxrepRTqqoqyU07EGQTl6VIDOpHI&#10;xH3VougJ3dlqMZ8vqx6wDQhSxUin18Ml3xR8rZVMn7WOKjHbcKotlRXLustrtVmLeo8idEaOZYhX&#10;VOGE8ZR0groWSbA7NM+gnJEIEXSaSXAVaG2kKhyIzdn8HzZfOxFU4ULixDDJFP8frPx02CIzLfWO&#10;My8ctWj7+8f9L3f/k8UA3z3Vx86zTH2INXlf+S2OVgxbzJyPGl3+Ext2LNKeJmnVMTFJh+9Xy8XF&#10;kjog6W55virKV4+xAWP6oMCxvGm4NT4TF7U4fIyJ8pHrg0s+tp71VPLFnICyHcGa9sZYWwzc764s&#10;soPITS9fJkAQf7kh3Pl2OLeerjPBgVLZpZNVQ6ovSpNChVmBlyP+MEY050TrYZgoifUUkB011fPC&#10;2DEkR6syvS+Mn4JKfvBpinfGAxYZnrDL2x20p9LSIgCNWVFqfBJ5jp/aRabHh7v5AwAA//8DAFBL&#10;AwQUAAYACAAAACEAsCTh8NoAAAAHAQAADwAAAGRycy9kb3ducmV2LnhtbEyOwU7DMBBE70j8g7VI&#10;XFBrpyBIQ5yqqqjEkRa4O/E2jojXUey2KV/PcoLjaJ5mXrmafC9OOMYukIZsrkAgNcF21Gr4eN/O&#10;chAxGbKmD4QaLhhhVV1flaaw4Uw7PO1TK3iEYmE0uJSGQsrYOPQmzsOAxN0hjN4kjmMr7WjOPO57&#10;uVDqUXrTET84M+DGYfO1P3oNd/ev9TJF/MxxN718vymZ1e6g9e3NtH4GkXBKfzD86rM6VOxUhyPZ&#10;KHoNs/yJSQ35AgTXy+yBc82cykBWpfzvX/0AAAD//wMAUEsBAi0AFAAGAAgAAAAhALaDOJL+AAAA&#10;4QEAABMAAAAAAAAAAAAAAAAAAAAAAFtDb250ZW50X1R5cGVzXS54bWxQSwECLQAUAAYACAAAACEA&#10;OP0h/9YAAACUAQAACwAAAAAAAAAAAAAAAAAvAQAAX3JlbHMvLnJlbHNQSwECLQAUAAYACAAAACEA&#10;K/TlV98BAAAABAAADgAAAAAAAAAAAAAAAAAuAgAAZHJzL2Uyb0RvYy54bWxQSwECLQAUAAYACAAA&#10;ACEAsCTh8NoAAAAHAQAADwAAAAAAAAAAAAAAAAA5BAAAZHJzL2Rvd25yZXYueG1sUEsFBgAAAAAE&#10;AAQA8wAAAEAFAAAAAA==&#10;" strokeweight=".53mm"/>
        </w:pict>
      </w:r>
      <w:r>
        <w:rPr>
          <w:rFonts w:hint="eastAsia"/>
          <w:noProof/>
        </w:rPr>
        <w:pict w14:anchorId="3D1D66B2">
          <v:line id="Přímá spojnice 3" o:spid="_x0000_s1026" style="position:absolute;left:0;text-align:lef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3pt" to="457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9Q4AEAAAAEAAAOAAAAZHJzL2Uyb0RvYy54bWysU8FuEzEQvSPxD5bvZLcBonSVTQ+tygVB&#10;BOUDHK+dNbI91tjNJp/CkQ/gKyr+i7F3mxZ6asUevJ7xzJt5z+PVxcFZtlcYDfiWn81qzpSX0Bm/&#10;a/m3m+s3S85iEr4TFrxq+VFFfrF+/Wo1hEbNoQfbKWQE4mMzhJb3KYWmqqLslRNxBkF5OtSATiQy&#10;cVd1KAZCd7aa1/WiGgC7gCBVjOS9Gg/5uuBrrWT6rHVUidmWU2+prFjWbV6r9Uo0OxShN3JqQ7yg&#10;CyeMp6InqCuRBLtF8wTKGYkQQaeZBFeB1kaqwoHYnNX/sPnai6AKFxInhpNM8f/Byk/7DTLTtXzO&#10;mReOrmjz+8fdL3f3k8UA3z31x95mmYYQG4q+9BucrBg2mDkfNLr8JzbsUKQ9nqRVh8QkOd8vF/Pz&#10;Bd2ApLPFu2VRvnrIDRjTBwWO5U3LrfGZuGjE/mNMVI9C70Oy23o20Lid1wSU7QjWdNfG2mLgbntp&#10;ke1FvvTyZQIE8VcYwq3vRr/1dJwJjpTKLh2tGkt9UZoUKswKvJzwxzGiOSda98NERaynhByoqZ9n&#10;5k4pOVuV6X1m/imp1AefTvnOeMAiwyN2ebuF7liutAhAY1aUmp5EnuPHdpHp4eGu/wAAAP//AwBQ&#10;SwMEFAAGAAgAAAAhAPxFXP/dAAAACAEAAA8AAABkcnMvZG93bnJldi54bWxMj8FOwzAQRO9I/IO1&#10;SFxQ6ySUNg1xKoRA4tgWenfibRwRr6PYbQNfz3KC486MZt+Um8n14oxj6DwpSOcJCKTGm45aBR/v&#10;r7McRIiajO49oYIvDLCprq9KXRh/oR2e97EVXEKh0ApsjEMhZWgsOh3mfkBi7+hHpyOfYyvNqC9c&#10;7nqZJclSOt0Rf7B6wGeLzef+5BTc3b/V6xjwkONuevneJjKt7VGp25vp6RFExCn+heEXn9GhYqba&#10;n8gE0SuY5StOKsiyJQj21+mChZqFxQPIqpT/B1Q/AAAA//8DAFBLAQItABQABgAIAAAAIQC2gziS&#10;/gAAAOEBAAATAAAAAAAAAAAAAAAAAAAAAABbQ29udGVudF9UeXBlc10ueG1sUEsBAi0AFAAGAAgA&#10;AAAhADj9If/WAAAAlAEAAAsAAAAAAAAAAAAAAAAALwEAAF9yZWxzLy5yZWxzUEsBAi0AFAAGAAgA&#10;AAAhAOodr1DgAQAAAAQAAA4AAAAAAAAAAAAAAAAALgIAAGRycy9lMm9Eb2MueG1sUEsBAi0AFAAG&#10;AAgAAAAhAPxFXP/dAAAACAEAAA8AAAAAAAAAAAAAAAAAOgQAAGRycy9kb3ducmV2LnhtbFBLBQYA&#10;AAAABAAEAPMAAABEBQAAAAA=&#10;" strokeweight=".53mm"/>
        </w:pict>
      </w:r>
    </w:p>
    <w:p w14:paraId="0BCA9C5A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8"/>
          <w:szCs w:val="28"/>
        </w:rPr>
        <w:t>A.1    Identifikační údaje</w:t>
      </w:r>
    </w:p>
    <w:p w14:paraId="76DCE04A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>A.1.1.  Údaje o stavbě</w:t>
      </w:r>
    </w:p>
    <w:p w14:paraId="12956E8C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i/>
        </w:rPr>
        <w:t xml:space="preserve">a) název stavby </w:t>
      </w:r>
    </w:p>
    <w:p w14:paraId="09BEA77C" w14:textId="77777777" w:rsidR="00873ED3" w:rsidRDefault="004A0EBE">
      <w:pPr>
        <w:jc w:val="both"/>
        <w:rPr>
          <w:rFonts w:hint="eastAsia"/>
        </w:rPr>
      </w:pPr>
      <w:r>
        <w:rPr>
          <w:rFonts w:ascii="Book Antiqua" w:hAnsi="Book Antiqua" w:cs="Times New Roman"/>
        </w:rPr>
        <w:t>Výměna oken Krkonošského gymnasia a SOŠ Hostinné, Horská 309</w:t>
      </w:r>
    </w:p>
    <w:p w14:paraId="722C037B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i/>
        </w:rPr>
        <w:t>b) místo stavby</w:t>
      </w:r>
    </w:p>
    <w:p w14:paraId="1D8E71CF" w14:textId="77777777" w:rsidR="00873ED3" w:rsidRDefault="004A0EBE">
      <w:pPr>
        <w:jc w:val="both"/>
        <w:rPr>
          <w:rFonts w:hint="eastAsia"/>
        </w:rPr>
      </w:pPr>
      <w:r>
        <w:rPr>
          <w:rFonts w:ascii="Book Antiqua" w:hAnsi="Book Antiqua" w:cs="Times New Roman"/>
        </w:rPr>
        <w:t>pozemek p.č. -  188/2 v  k.ú. Hostinné</w:t>
      </w:r>
    </w:p>
    <w:p w14:paraId="7CB0C9DE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i/>
        </w:rPr>
        <w:t>c) vlastnické právo</w:t>
      </w:r>
    </w:p>
    <w:p w14:paraId="253D4847" w14:textId="77777777" w:rsidR="00873ED3" w:rsidRDefault="004A0EBE">
      <w:pPr>
        <w:jc w:val="both"/>
        <w:rPr>
          <w:rFonts w:ascii="Book Antiqua" w:hAnsi="Book Antiqua" w:cs="Times New Roman"/>
        </w:rPr>
      </w:pPr>
      <w:bookmarkStart w:id="0" w:name="__DdeLink__49_4214954330"/>
      <w:bookmarkEnd w:id="0"/>
      <w:r>
        <w:rPr>
          <w:rFonts w:ascii="Book Antiqua" w:hAnsi="Book Antiqua" w:cs="Times New Roman"/>
        </w:rPr>
        <w:t>Královéhradecký kraj, Pivovarské náměstí 1245/2, 50003 Hradec Králové</w:t>
      </w:r>
    </w:p>
    <w:p w14:paraId="3B0AA4BC" w14:textId="77777777" w:rsidR="00873ED3" w:rsidRDefault="00873ED3">
      <w:pPr>
        <w:jc w:val="both"/>
        <w:rPr>
          <w:rFonts w:ascii="Book Antiqua" w:hAnsi="Book Antiqua" w:cs="Times New Roman"/>
          <w:b/>
          <w:bCs/>
          <w:u w:val="single"/>
        </w:rPr>
      </w:pPr>
    </w:p>
    <w:p w14:paraId="225E8B14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A.1.2.  Úvod. </w:t>
      </w:r>
    </w:p>
    <w:p w14:paraId="200A3C62" w14:textId="77777777" w:rsidR="00873ED3" w:rsidRDefault="00873ED3">
      <w:pPr>
        <w:jc w:val="both"/>
        <w:rPr>
          <w:rFonts w:ascii="Times New Roman" w:hAnsi="Times New Roman" w:cs="Times New Roman"/>
          <w:b/>
          <w:u w:val="single"/>
        </w:rPr>
      </w:pPr>
    </w:p>
    <w:p w14:paraId="43BB4555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Úvod.  </w:t>
      </w:r>
    </w:p>
    <w:p w14:paraId="025F9D88" w14:textId="7EB29185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>Objekt školy je třípodlažní budova navazující na novou budovu ZŠ. Škola byla založena před více než 140 lety, novodobá historie školy začíná v 90. letech minulého století. Dnes poskytuje úplné středoškolské vzdělání s maturitou ve studijních oborech Gymnasium všeobecné a Sociální činnost.</w:t>
      </w:r>
    </w:p>
    <w:p w14:paraId="292B211B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76A1D336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</w:p>
    <w:p w14:paraId="3930BD9F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Stávající stav. </w:t>
      </w:r>
    </w:p>
    <w:p w14:paraId="1DE7521C" w14:textId="34CA82D5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Objekt zděný je třípodlažní budova navazující na novou budovu ZŠ. Všechna okna jsou špaletová (s vnitřním deštěním) čtyřkřídlá, otevíravá s vodorovným poutcem. Tato okna jsou umístěna na JZ a SZ fasádě objektu. Na SV fasádě objektu jsou okna ve spodních křídlech ještě opatřena příčlí.  Do prostoru tělocvičny a skladu nářadí v 1.NP objektu jsou vnitřní okna špaletových oken opatřena vzorovaným sklem. </w:t>
      </w:r>
    </w:p>
    <w:p w14:paraId="4412378B" w14:textId="77777777" w:rsidR="00C54AFD" w:rsidRDefault="004A0EBE">
      <w:pPr>
        <w:jc w:val="both"/>
      </w:pPr>
      <w:bookmarkStart w:id="1" w:name="__DdeLink__110_2768538441"/>
      <w:bookmarkEnd w:id="1"/>
      <w:r>
        <w:rPr>
          <w:rFonts w:ascii="Times New Roman" w:hAnsi="Times New Roman" w:cs="Times New Roman"/>
        </w:rPr>
        <w:t xml:space="preserve">Dřevěné vnitřní parapety oken jsou rozdílných šířek.  </w:t>
      </w:r>
    </w:p>
    <w:p w14:paraId="61CC6C59" w14:textId="58C97820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Dřevo venkovních rámů , špalet a venkovních křídel poškozené povětrnostními vlivy, křídla jsou částečně poškozená, většinou zakřivená a oprýskaná. Okna jsou opatřena bílým nátěrem, rám vnější z venkovní strany opatřen nátěrem hnědým. </w:t>
      </w:r>
    </w:p>
    <w:p w14:paraId="7A657070" w14:textId="1BC2416E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Okna a okenní otvory byly zaměřeny projektantem. </w:t>
      </w:r>
    </w:p>
    <w:p w14:paraId="20977E49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6ED48B43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Nový stav. </w:t>
      </w:r>
    </w:p>
    <w:p w14:paraId="6AEF73E3" w14:textId="78D45D0D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Nová okna budou provedena ve stejném členění jako stávající okna se stejným barevným řešením z nových okenních profilů. Všechna okna špaletová (s vnitřním deštěním) čtyřkřídlá, otevíravá s vodorovným poutcem. Tato okna budou umístěna na JZ a SZ fasádě objektu. Na SV fasádě objektu budou okna ve spodních křídlech ještě opatřena příčlí.  Do prostoru tělocvičny a skladu nářadí v 1.NP objektu budou vnitřní okna špaletových oken opatřena matným sklem. Ostatní okna – vnitřní i vnější křídla – zasklení čiré. </w:t>
      </w:r>
    </w:p>
    <w:p w14:paraId="7F3DB0B0" w14:textId="63FE7034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Nové dřevěné vnitřní parapety oken budou provedeny rozdílných šířek (dle výkresů půdorysů). Parapety natřít bíle.  </w:t>
      </w:r>
    </w:p>
    <w:p w14:paraId="7CB05F6C" w14:textId="544B27BE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t>Okna budou opatřena bílým nátěrem, rám vnější z venkovní strany bude opatřen nátěrem hnědým. Okenní křídla budou opatřena olivou ocelovou a ocelovými závěsy.</w:t>
      </w:r>
    </w:p>
    <w:p w14:paraId="1549AC72" w14:textId="71AA27CF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Dále je třeba uvažovat s vybouráním stávajících oken včetně deštění, se začištěním a částečnou výmalbou kolem nově zabudovaných oken z vnitřní i vnější strany objektu. Vnější okenní parapety budou opraveny a natřeny na stávající barevný odstín ( u oken). </w:t>
      </w:r>
    </w:p>
    <w:p w14:paraId="46694EC8" w14:textId="4B3DA799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Doporučený materiál nových oken smrk nebo modřín (vydrží déle). </w:t>
      </w:r>
    </w:p>
    <w:p w14:paraId="5B543F80" w14:textId="77777777" w:rsidR="004A0EBE" w:rsidRDefault="004A0EBE">
      <w:pPr>
        <w:jc w:val="both"/>
        <w:rPr>
          <w:rFonts w:ascii="Times New Roman" w:hAnsi="Times New Roman" w:cs="Times New Roman"/>
          <w:b/>
          <w:bCs/>
        </w:rPr>
      </w:pPr>
    </w:p>
    <w:p w14:paraId="137D7769" w14:textId="52449060" w:rsidR="004A0EBE" w:rsidRPr="004A0EBE" w:rsidRDefault="004A0EBE" w:rsidP="004A0EBE">
      <w:pPr>
        <w:rPr>
          <w:rFonts w:hint="eastAsia"/>
          <w:b/>
          <w:bCs/>
          <w:color w:val="auto"/>
          <w:sz w:val="22"/>
          <w:u w:val="single"/>
        </w:rPr>
      </w:pPr>
      <w:r w:rsidRPr="004A0EBE">
        <w:rPr>
          <w:b/>
          <w:bCs/>
          <w:u w:val="single"/>
        </w:rPr>
        <w:t>Nová špaletová okna musí respektovat vzhled, členění a rozměry profilů stávajících oken. Dále požadujeme doložení certifikátu na požadované technické konstrukční řešení</w:t>
      </w:r>
    </w:p>
    <w:p w14:paraId="1FAC393F" w14:textId="77777777" w:rsidR="004A0EBE" w:rsidRDefault="004A0EBE">
      <w:pPr>
        <w:jc w:val="both"/>
        <w:rPr>
          <w:rFonts w:ascii="Times New Roman" w:hAnsi="Times New Roman" w:cs="Times New Roman"/>
          <w:b/>
          <w:bCs/>
        </w:rPr>
      </w:pPr>
    </w:p>
    <w:p w14:paraId="1F530ED2" w14:textId="77777777" w:rsidR="00873ED3" w:rsidRDefault="00873ED3">
      <w:pPr>
        <w:jc w:val="both"/>
        <w:rPr>
          <w:rFonts w:ascii="Times New Roman" w:hAnsi="Times New Roman" w:cs="Times New Roman"/>
          <w:b/>
          <w:bCs/>
        </w:rPr>
      </w:pPr>
    </w:p>
    <w:p w14:paraId="506C558C" w14:textId="188F3409" w:rsidR="00873ED3" w:rsidRDefault="004A0EBE">
      <w:pPr>
        <w:jc w:val="both"/>
        <w:rPr>
          <w:rFonts w:hint="eastAsia"/>
        </w:rPr>
      </w:pPr>
      <w:r>
        <w:rPr>
          <w:rFonts w:ascii="Book Antiqua" w:hAnsi="Book Antiqua" w:cs="Times New Roman"/>
          <w:b/>
          <w:bCs/>
        </w:rPr>
        <w:t xml:space="preserve">Zadavatel požaduje z důvodu energetické úspory objektu zasklení všech </w:t>
      </w:r>
      <w:r w:rsidRPr="004A0EBE">
        <w:rPr>
          <w:rFonts w:ascii="Book Antiqua" w:hAnsi="Book Antiqua" w:cs="Times New Roman"/>
          <w:b/>
          <w:bCs/>
          <w:u w:val="single"/>
        </w:rPr>
        <w:t>venkovních</w:t>
      </w:r>
      <w:r>
        <w:rPr>
          <w:rFonts w:ascii="Book Antiqua" w:hAnsi="Book Antiqua" w:cs="Times New Roman"/>
          <w:b/>
          <w:bCs/>
        </w:rPr>
        <w:t xml:space="preserve"> křídel objektu tepelně izolačními </w:t>
      </w:r>
      <w:r w:rsidRPr="004A0EBE">
        <w:rPr>
          <w:rFonts w:ascii="Book Antiqua" w:hAnsi="Book Antiqua" w:cs="Times New Roman"/>
          <w:b/>
          <w:bCs/>
          <w:u w:val="single"/>
        </w:rPr>
        <w:t>dvojskly Uw = 1,0</w:t>
      </w:r>
      <w:r>
        <w:rPr>
          <w:rFonts w:ascii="Book Antiqua" w:hAnsi="Book Antiqua" w:cs="Times New Roman"/>
          <w:b/>
          <w:bCs/>
        </w:rPr>
        <w:t>, odolnost proti zatížení větrem – třída C4, vodotěsnost – třída 9A, průvzdušnost – třída 4, akustické vlastnosti R</w:t>
      </w:r>
      <w:r>
        <w:rPr>
          <w:rFonts w:ascii="Book Antiqua" w:hAnsi="Book Antiqua" w:cs="Times New Roman"/>
          <w:b/>
          <w:bCs/>
          <w:vertAlign w:val="subscript"/>
        </w:rPr>
        <w:t>W</w:t>
      </w:r>
      <w:r>
        <w:rPr>
          <w:rFonts w:ascii="Book Antiqua" w:hAnsi="Book Antiqua" w:cs="Times New Roman"/>
          <w:b/>
          <w:bCs/>
        </w:rPr>
        <w:t xml:space="preserve"> = 43dB.</w:t>
      </w:r>
    </w:p>
    <w:p w14:paraId="1A2A8724" w14:textId="77777777" w:rsidR="004A0EBE" w:rsidRDefault="004A0EBE">
      <w:pPr>
        <w:jc w:val="both"/>
        <w:rPr>
          <w:rFonts w:ascii="Book Antiqua" w:hAnsi="Book Antiqua" w:cs="Times New Roman"/>
          <w:b/>
          <w:bCs/>
        </w:rPr>
      </w:pPr>
      <w:r>
        <w:rPr>
          <w:rFonts w:ascii="Book Antiqua" w:hAnsi="Book Antiqua" w:cs="Times New Roman"/>
          <w:b/>
          <w:bCs/>
        </w:rPr>
        <w:t xml:space="preserve">     </w:t>
      </w:r>
    </w:p>
    <w:p w14:paraId="671AABBB" w14:textId="3EBC20D6" w:rsidR="00873ED3" w:rsidRDefault="004A0EBE">
      <w:pPr>
        <w:jc w:val="both"/>
        <w:rPr>
          <w:rFonts w:hint="eastAsia"/>
        </w:rPr>
      </w:pPr>
      <w:r>
        <w:rPr>
          <w:rFonts w:ascii="Book Antiqua" w:hAnsi="Book Antiqua" w:cs="Times New Roman"/>
          <w:b/>
          <w:bCs/>
        </w:rPr>
        <w:t>Vnější okno - 2x těsnění</w:t>
      </w:r>
    </w:p>
    <w:p w14:paraId="053B16E7" w14:textId="4D7FE68A" w:rsidR="00873ED3" w:rsidRDefault="004A0EBE">
      <w:pPr>
        <w:jc w:val="both"/>
        <w:rPr>
          <w:rFonts w:hint="eastAsia"/>
        </w:rPr>
      </w:pPr>
      <w:r>
        <w:rPr>
          <w:rFonts w:ascii="Book Antiqua" w:hAnsi="Book Antiqua" w:cs="Times New Roman"/>
          <w:b/>
          <w:bCs/>
        </w:rPr>
        <w:t>Vnitřní okno – 1x těsnění</w:t>
      </w:r>
    </w:p>
    <w:p w14:paraId="46EA59F5" w14:textId="77777777" w:rsidR="00873ED3" w:rsidRDefault="00873ED3">
      <w:pPr>
        <w:jc w:val="both"/>
        <w:rPr>
          <w:rFonts w:ascii="Book Antiqua" w:hAnsi="Book Antiqua" w:cs="Times New Roman"/>
          <w:b/>
          <w:bCs/>
        </w:rPr>
      </w:pPr>
    </w:p>
    <w:p w14:paraId="728DC6C1" w14:textId="77777777" w:rsidR="00873ED3" w:rsidRDefault="00873ED3">
      <w:pPr>
        <w:jc w:val="both"/>
        <w:rPr>
          <w:rFonts w:ascii="Times New Roman" w:hAnsi="Times New Roman" w:cs="Times New Roman"/>
          <w:b/>
          <w:bCs/>
        </w:rPr>
      </w:pPr>
    </w:p>
    <w:p w14:paraId="440EDD2A" w14:textId="77777777" w:rsidR="00873ED3" w:rsidRDefault="00873ED3">
      <w:pPr>
        <w:jc w:val="both"/>
        <w:rPr>
          <w:rFonts w:ascii="Times New Roman" w:hAnsi="Times New Roman" w:cs="Times New Roman"/>
          <w:b/>
          <w:bCs/>
        </w:rPr>
      </w:pPr>
    </w:p>
    <w:p w14:paraId="09476243" w14:textId="77777777" w:rsidR="00873ED3" w:rsidRDefault="00873ED3">
      <w:pPr>
        <w:jc w:val="both"/>
        <w:rPr>
          <w:rFonts w:ascii="Times New Roman" w:hAnsi="Times New Roman" w:cs="Times New Roman"/>
          <w:b/>
          <w:bCs/>
        </w:rPr>
      </w:pPr>
    </w:p>
    <w:p w14:paraId="12915B31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6D6418C7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4176A0D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014C53F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683DB2AC" w14:textId="77777777" w:rsidR="00873ED3" w:rsidRDefault="004A0EBE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>v Trutnově                                                                                                                Milan Falta</w:t>
      </w:r>
    </w:p>
    <w:p w14:paraId="21FC5411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6831DE79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5C30C10A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556A8ADA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735DAE73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6BFA6923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00A04B32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20716ACC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A1ADF57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3F6D9AC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20095B2D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21FB8FF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4ACE9633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72650774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28DBE0AF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164750A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48EDB730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62997FD5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5C9EE9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1ED2D30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18F6618D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F0925EE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5D00EEC8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07D547E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1C3402D8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125DEC77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8455C76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57F8DC6E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012D3F55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FE34B6A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0DD0E972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22986161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4ADC8B19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09D11527" w14:textId="77777777" w:rsidR="00873ED3" w:rsidRDefault="00873ED3">
      <w:pPr>
        <w:jc w:val="both"/>
        <w:rPr>
          <w:rFonts w:ascii="Times New Roman" w:hAnsi="Times New Roman" w:cs="Times New Roman"/>
        </w:rPr>
      </w:pPr>
    </w:p>
    <w:p w14:paraId="35252F31" w14:textId="77777777" w:rsidR="00873ED3" w:rsidRDefault="00873ED3">
      <w:pPr>
        <w:jc w:val="both"/>
        <w:rPr>
          <w:rFonts w:ascii="Times New Roman" w:hAnsi="Times New Roman" w:cs="Times New Roman"/>
        </w:rPr>
        <w:sectPr w:rsidR="00873ED3">
          <w:pgSz w:w="11906" w:h="16838"/>
          <w:pgMar w:top="1134" w:right="1134" w:bottom="1134" w:left="1134" w:header="0" w:footer="0" w:gutter="0"/>
          <w:cols w:space="708"/>
          <w:formProt w:val="0"/>
          <w:docGrid w:linePitch="240" w:charSpace="-6145"/>
        </w:sectPr>
      </w:pPr>
    </w:p>
    <w:p w14:paraId="6E904337" w14:textId="77777777" w:rsidR="00873ED3" w:rsidRDefault="00873ED3">
      <w:pPr>
        <w:pStyle w:val="Nadpis4"/>
        <w:ind w:left="2422"/>
        <w:jc w:val="left"/>
        <w:rPr>
          <w:rFonts w:ascii="Book Antiqua" w:hAnsi="Book Antiqua"/>
          <w:sz w:val="52"/>
          <w:szCs w:val="52"/>
        </w:rPr>
      </w:pPr>
    </w:p>
    <w:sectPr w:rsidR="00873ED3"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BD2608"/>
    <w:multiLevelType w:val="multilevel"/>
    <w:tmpl w:val="8864D36E"/>
    <w:lvl w:ilvl="0">
      <w:start w:val="1"/>
      <w:numFmt w:val="none"/>
      <w:pStyle w:val="Nadpis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E0143"/>
    <w:multiLevelType w:val="multilevel"/>
    <w:tmpl w:val="1D2205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3ED3"/>
    <w:rsid w:val="004A0EBE"/>
    <w:rsid w:val="00873ED3"/>
    <w:rsid w:val="00C5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F990B1"/>
  <w15:docId w15:val="{4D6075DE-2F58-459E-8797-1FDC400D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color w:val="00000A"/>
      <w:sz w:val="24"/>
    </w:rPr>
  </w:style>
  <w:style w:type="paragraph" w:styleId="Nadpis1">
    <w:name w:val="heading 1"/>
    <w:basedOn w:val="Normln"/>
    <w:next w:val="Normln"/>
    <w:uiPriority w:val="9"/>
    <w:qFormat/>
    <w:pPr>
      <w:keepNext/>
      <w:numPr>
        <w:numId w:val="1"/>
      </w:numPr>
      <w:outlineLvl w:val="0"/>
    </w:pPr>
    <w:rPr>
      <w:b/>
      <w:sz w:val="28"/>
    </w:rPr>
  </w:style>
  <w:style w:type="paragraph" w:styleId="Nadpis4">
    <w:name w:val="heading 4"/>
    <w:basedOn w:val="Normln"/>
    <w:uiPriority w:val="9"/>
    <w:unhideWhenUsed/>
    <w:qFormat/>
    <w:pPr>
      <w:keepNext/>
      <w:jc w:val="center"/>
      <w:outlineLvl w:val="3"/>
    </w:pPr>
    <w:rPr>
      <w:rFonts w:ascii="Times New Roman" w:eastAsia="Times New Roman" w:hAnsi="Times New Roman" w:cs="Times New Roman"/>
      <w:sz w:val="7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468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Václav Javůrek</cp:lastModifiedBy>
  <cp:revision>9</cp:revision>
  <cp:lastPrinted>2020-03-11T10:44:00Z</cp:lastPrinted>
  <dcterms:created xsi:type="dcterms:W3CDTF">2019-06-05T10:59:00Z</dcterms:created>
  <dcterms:modified xsi:type="dcterms:W3CDTF">2021-01-27T09:33:00Z</dcterms:modified>
  <dc:language>cs-CZ</dc:language>
</cp:coreProperties>
</file>